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jc w:val="both"/>
        <w:rPr>
          <w:rFonts w:ascii="Calibri" w:hAnsi="Calibri" w:eastAsia="Segoe UI" w:cs="Calibri"/>
          <w:b/>
          <w:bCs/>
          <w:sz w:val="22"/>
          <w:szCs w:val="22"/>
        </w:rPr>
      </w:pPr>
      <w:r>
        <w:rPr>
          <w:rFonts w:ascii="Calibri" w:hAnsi="Calibri" w:eastAsia="Segoe UI" w:cs="Calibri"/>
          <w:b/>
          <w:bCs/>
          <w:sz w:val="22"/>
          <w:szCs w:val="22"/>
        </w:rPr>
        <w:t xml:space="preserve">Detektyw w świecie mediów: Jak r</w:t>
      </w:r>
      <w:r>
        <w:rPr>
          <w:rFonts w:ascii="Calibri" w:hAnsi="Calibri" w:eastAsia="Segoe UI" w:cs="Calibri"/>
          <w:b/>
          <w:bCs/>
          <w:sz w:val="22"/>
          <w:szCs w:val="22"/>
        </w:rPr>
        <w:t xml:space="preserve">ozpoznawać cyfrowe fałszerstwa?</w:t>
      </w:r>
      <w:r>
        <w:rPr>
          <w:rFonts w:ascii="Calibri" w:hAnsi="Calibri" w:eastAsia="Segoe UI" w:cs="Calibri"/>
          <w:b/>
          <w:bCs/>
          <w:sz w:val="22"/>
          <w:szCs w:val="22"/>
        </w:rPr>
      </w:r>
    </w:p>
    <w:p>
      <w:pPr>
        <w:pBdr/>
        <w:spacing w:after="0"/>
        <w:ind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i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Przez dynamiczny rozwój Internetu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,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 sztucznej inteligencji i mediów społecznościowych możemy zauważyć natłok informac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ji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. W przestrzeni cyfrowej możemy znaleźć </w:t>
      </w:r>
      <w:r>
        <w:rPr>
          <w:rFonts w:ascii="Calibri" w:hAnsi="Calibri" w:eastAsia="Arial" w:cs="Calibri"/>
          <w:b/>
          <w:bCs/>
          <w:i/>
          <w:color w:val="000000" w:themeColor="text1"/>
          <w:sz w:val="20"/>
          <w:szCs w:val="20"/>
        </w:rPr>
        <w:t xml:space="preserve">deepfaki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, w których wykorzystuje się wizerunek innych osób, aby rozprzestrzenić fałszywą informację. W Internecie obecnie jest również wiele </w:t>
      </w:r>
      <w:r>
        <w:rPr>
          <w:rFonts w:ascii="Calibri" w:hAnsi="Calibri" w:eastAsia="Arial" w:cs="Calibri"/>
          <w:b/>
          <w:bCs/>
          <w:i/>
          <w:color w:val="000000" w:themeColor="text1"/>
          <w:sz w:val="20"/>
          <w:szCs w:val="20"/>
        </w:rPr>
        <w:t xml:space="preserve">fake newsów,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 zmanipulowanych wiadomości czy takich, które są przekazywane dalej bez wcześniejszego sprawdzenia. Dlatego tak ważne jest, aby krytycznie podchodzić do informacji.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i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Współczesne media często wykorzystują emocje, sensacyjne nagłówki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  <w:t xml:space="preserve"> czy atrakcyjne wizualnie materiały, aby przyciągnąć uwagę użytkownika. Wiarygodny wygląd informacji, nie sprawia jednak, że jest ona prawdziwa. Dlatego weryfikacja treści powinna stać się podstawowych nawykiem każdego, kto korzysta z przestrzeni cyfrowej.</w:t>
      </w:r>
      <w:r>
        <w:rPr>
          <w:rFonts w:ascii="Calibri" w:hAnsi="Calibri" w:eastAsia="Arial" w:cs="Calibri"/>
          <w:i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  <w:t xml:space="preserve">ETYKA ORAZ METODA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Warto rozróżniać rodzaje fałszywych informacji.  </w:t>
      </w:r>
      <w:r>
        <w:rPr>
          <w:rFonts w:ascii="Calibri" w:hAnsi="Calibri" w:cs="Calibri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  <w:t xml:space="preserve">Dezinformacja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- 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Tworzenie i rozprzestrzenianie treści fałszywych, wprowadzających w błąd. Ich celem jest umyślne wyrządzenie krzywdy lub szkody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.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  <w:t xml:space="preserve">Malinformacja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-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Treści prawdziwe, wykorzystywane w sposób szkodliwy.</w:t>
      </w:r>
      <w:r>
        <w:rPr>
          <w:rFonts w:ascii="Calibri" w:hAnsi="Calibri" w:cs="Calibri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  <w:t xml:space="preserve">Misinformacja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-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Tworzenie i rozprzestrzenianie nieprawdziwych treści, bez zamysłu wyrządzenia szkody. Powstają w wyniku błędu/ braku rzetelności.</w:t>
      </w:r>
      <w:r>
        <w:rPr>
          <w:rFonts w:ascii="Calibri" w:hAnsi="Calibri" w:cs="Calibri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Nie jesteśmy jednak bezradni wobec takich zagrożeń. Przede wszystkim kluczowe jest, aby “zatrzymać się przy informacji”. Warto posłużyć się przy tym dwoma bezpośrednimi pytaniami sformułowanych przez </w:t>
      </w: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  <w:t xml:space="preserve">Steve’a Buttry’ego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: </w:t>
      </w:r>
      <w:r>
        <w:rPr>
          <w:rFonts w:ascii="Calibri" w:hAnsi="Calibri" w:eastAsia="Arial" w:cs="Calibri"/>
          <w:i/>
          <w:iCs/>
          <w:color w:val="000000" w:themeColor="text1"/>
          <w:sz w:val="20"/>
          <w:szCs w:val="20"/>
        </w:rPr>
        <w:t xml:space="preserve">“Jak to wiesz?” oraz “Skąd to wiesz?” 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przy jednoczesnym stosowaniu zasady dwóch źródeł przed publikacją bardziej sensacyjnych materiałów, niosących rzeczywistą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,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silną informację ze sobą.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  <w:t xml:space="preserve">DANE, DANE I JESZCZE RAZ DANE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Statystyki i dane liczbowe są często wykorzystywane, aby przedstawić określony wniosek. Jedna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kże procent czy liczba nie zawsze pokaże pełny obraz sytuacji. Dlatego też powołując się na badanie warto sprawdzić czego dokładnie dotyczy, jak liczna była grupa badanych, jakich pytań użyto w badaniu, kiedy zostało przeprowadzone oraz kto je sfinansował.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Warto również pamiętać, aby nie mylić korelacji z przyczynowością. Dwa zjawiska mogą występować jednocześnie, ale nie musi to oznaczać, że jedno wynika z drugiego. </w:t>
      </w:r>
      <w:r>
        <w:rPr>
          <w:rFonts w:ascii="Calibri" w:hAnsi="Calibri" w:cs="Calibri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Segoe UI" w:cs="Calibri"/>
          <w:color w:val="000000" w:themeColor="text1"/>
          <w:sz w:val="20"/>
          <w:szCs w:val="20"/>
        </w:rPr>
      </w:pPr>
      <w:r>
        <w:rPr>
          <w:rFonts w:ascii="Calibri" w:hAnsi="Calibri" w:eastAsia="Segoe UI" w:cs="Calibri"/>
          <w:b/>
          <w:bCs/>
          <w:sz w:val="20"/>
          <w:szCs w:val="20"/>
        </w:rPr>
        <w:t xml:space="preserve">Korelacja</w:t>
      </w:r>
      <w:r>
        <w:rPr>
          <w:rFonts w:ascii="Calibri" w:hAnsi="Calibri" w:eastAsia="Segoe UI" w:cs="Calibri"/>
          <w:sz w:val="20"/>
          <w:szCs w:val="20"/>
        </w:rPr>
        <w:t xml:space="preserve">- </w:t>
      </w:r>
      <w:r>
        <w:rPr>
          <w:rFonts w:ascii="Calibri" w:hAnsi="Calibri" w:eastAsia="Segoe UI" w:cs="Calibri"/>
          <w:sz w:val="20"/>
          <w:szCs w:val="20"/>
        </w:rPr>
        <w:t xml:space="preserve">współwystępowanie zmiennych</w:t>
      </w:r>
      <w:r>
        <w:rPr>
          <w:rFonts w:ascii="Calibri" w:hAnsi="Calibri" w:eastAsia="Segoe UI" w:cs="Calibri"/>
          <w:sz w:val="20"/>
          <w:szCs w:val="20"/>
        </w:rPr>
        <w:t xml:space="preserve">, niezależnych od siebie.</w:t>
      </w:r>
      <w:r>
        <w:rPr>
          <w:rFonts w:ascii="Calibri" w:hAnsi="Calibri" w:eastAsia="Segoe U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Segoe UI" w:cs="Calibri"/>
          <w:color w:val="000000" w:themeColor="text1"/>
          <w:sz w:val="20"/>
          <w:szCs w:val="20"/>
        </w:rPr>
      </w:pPr>
      <w:r>
        <w:rPr>
          <w:rFonts w:ascii="Calibri" w:hAnsi="Calibri" w:eastAsia="Segoe UI" w:cs="Calibri"/>
          <w:b/>
          <w:bCs/>
          <w:sz w:val="20"/>
          <w:szCs w:val="20"/>
        </w:rPr>
        <w:t xml:space="preserve">Przyczynowość</w:t>
      </w:r>
      <w:r>
        <w:rPr>
          <w:rFonts w:ascii="Calibri" w:hAnsi="Calibri" w:eastAsia="Segoe UI" w:cs="Calibri"/>
          <w:sz w:val="20"/>
          <w:szCs w:val="20"/>
        </w:rPr>
        <w:t xml:space="preserve">-</w:t>
      </w:r>
      <w:r>
        <w:rPr>
          <w:rFonts w:ascii="Calibri" w:hAnsi="Calibri" w:eastAsia="Segoe UI" w:cs="Calibri"/>
          <w:sz w:val="20"/>
          <w:szCs w:val="20"/>
        </w:rPr>
        <w:t xml:space="preserve"> gdy jedna zmienna się zmienia, powoduje to bezpośrednio zmianę drugiej</w:t>
      </w:r>
      <w:r>
        <w:rPr>
          <w:rFonts w:ascii="Calibri" w:hAnsi="Calibri" w:eastAsia="Segoe UI" w:cs="Calibri"/>
          <w:sz w:val="20"/>
          <w:szCs w:val="20"/>
        </w:rPr>
        <w:t xml:space="preserve">.</w:t>
      </w:r>
      <w:r>
        <w:rPr>
          <w:rFonts w:ascii="Calibri" w:hAnsi="Calibri" w:eastAsia="Segoe U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color w:val="000000" w:themeColor="text1"/>
          <w:sz w:val="20"/>
          <w:szCs w:val="20"/>
        </w:rPr>
      </w:pP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  <w:t xml:space="preserve">FILTROWANIE PRAWDY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Rolą fact-checkera jest sprawdzanie prawdy. Tak samo jak oczyszczając wodę z zanieczyszczeń, możemy przesiać informację stosując zestaw pytań UGC: “</w:t>
      </w:r>
      <w:r>
        <w:rPr>
          <w:rFonts w:ascii="Calibri" w:hAnsi="Calibri" w:eastAsia="Arial" w:cs="Calibri"/>
          <w:b/>
          <w:bCs/>
          <w:color w:val="000000" w:themeColor="text1"/>
          <w:sz w:val="20"/>
          <w:szCs w:val="20"/>
        </w:rPr>
        <w:t xml:space="preserve">Czy to oryginalne zdjęcie/nagranie czy kadr? Kto to opublikował – zweryfikuj konto/osobę. Kiedy to powstało? Gdzie to zrobiono?”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Każde z tych pytań można sprawdzić kolejno za pomocą wyszukiwania AI, sprawdzania tablic rejestracyjnych, pogody widocznej na zdjęciu czy choćby budynków i stylu architektury w tle. Poza w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eryfikowaniem prawdy, powinniśmy zadbać o zabezpieczenie siebie, stosując silne hasła, podwójne uwierzytelniania, menedżer haseł oraz używać intuicji, nie ufając każdemu przesłanemu linkowi. Tracąc dostęp do konta możemy stać się siewcą nieprawdy, a zasian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i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e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pol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a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roślin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ą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inwazyjną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,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może wpłynąć na jakość wszystkich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plonów</w:t>
      </w:r>
      <w:r>
        <w:rPr>
          <w:rFonts w:ascii="Calibri" w:hAnsi="Calibri" w:eastAsia="Arial" w:cs="Calibri"/>
          <w:color w:val="000000" w:themeColor="text1"/>
          <w:sz w:val="20"/>
          <w:szCs w:val="20"/>
        </w:rPr>
        <w:t xml:space="preserve"> w „okolicy”. </w:t>
      </w:r>
      <w:r>
        <w:rPr>
          <w:rFonts w:ascii="Calibri" w:hAnsi="Calibri" w:cs="Calibri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i/>
          <w:sz w:val="18"/>
          <w:szCs w:val="18"/>
        </w:rPr>
      </w:r>
      <w:r>
        <w:rPr>
          <w:rFonts w:ascii="Calibri" w:hAnsi="Calibri" w:cs="Calibri"/>
          <w:i/>
          <w:sz w:val="18"/>
          <w:szCs w:val="18"/>
        </w:rPr>
      </w:r>
    </w:p>
    <w:p>
      <w:pPr>
        <w:pBdr/>
        <w:spacing w:after="0"/>
        <w:ind/>
        <w:jc w:val="both"/>
        <w:rPr>
          <w:rFonts w:ascii="Calibri" w:hAnsi="Calibri" w:cs="Calibri"/>
          <w:i/>
          <w:sz w:val="18"/>
          <w:szCs w:val="18"/>
          <w:lang w:val="en-US"/>
        </w:rPr>
      </w:pPr>
      <w:r>
        <w:rPr>
          <w:rFonts w:ascii="Calibri" w:hAnsi="Calibri" w:cs="Calibri"/>
          <w:i/>
          <w:sz w:val="18"/>
          <w:szCs w:val="18"/>
          <w:lang w:val="en-US"/>
        </w:rPr>
        <w:t xml:space="preserve">Źródła: UNESCO – Journalism, ‘Fake News’ and Disinformation</w:t>
      </w:r>
      <w:r>
        <w:rPr>
          <w:rFonts w:ascii="Calibri" w:hAnsi="Calibri" w:cs="Calibri"/>
          <w:i/>
          <w:sz w:val="18"/>
          <w:szCs w:val="18"/>
          <w:lang w:val="en-US"/>
        </w:rPr>
      </w:r>
    </w:p>
    <w:p>
      <w:pPr>
        <w:pBdr/>
        <w:spacing w:after="0"/>
        <w:ind/>
        <w:jc w:val="both"/>
        <w:rPr>
          <w:rFonts w:ascii="Calibri" w:hAnsi="Calibri" w:cs="Calibri"/>
          <w:i/>
          <w:sz w:val="18"/>
          <w:szCs w:val="18"/>
          <w:lang w:val="en-US"/>
        </w:rPr>
      </w:pPr>
      <w:r>
        <w:rPr>
          <w:rFonts w:ascii="Calibri" w:hAnsi="Calibri" w:cs="Calibri"/>
          <w:i/>
          <w:sz w:val="18"/>
          <w:szCs w:val="18"/>
          <w:lang w:val="en-US"/>
        </w:rPr>
        <w:t xml:space="preserve">Handbook for Journalism Education and Training Ver</w:t>
      </w:r>
      <w:bookmarkStart w:id="0" w:name="_GoBack"/>
      <w:r/>
      <w:bookmarkEnd w:id="0"/>
      <w:r>
        <w:rPr>
          <w:rFonts w:ascii="Calibri" w:hAnsi="Calibri" w:cs="Calibri"/>
          <w:i/>
          <w:sz w:val="18"/>
          <w:szCs w:val="18"/>
          <w:lang w:val="en-US"/>
        </w:rPr>
        <w:t xml:space="preserve">ification Handbook</w:t>
      </w:r>
      <w:r>
        <w:rPr>
          <w:rFonts w:ascii="Calibri" w:hAnsi="Calibri" w:cs="Calibri"/>
          <w:i/>
          <w:sz w:val="18"/>
          <w:szCs w:val="18"/>
          <w:lang w:val="en-US"/>
        </w:rPr>
      </w:r>
    </w:p>
    <w:p>
      <w:pPr>
        <w:pBdr/>
        <w:spacing w:after="0"/>
        <w:ind/>
        <w:jc w:val="both"/>
        <w:rPr>
          <w:rFonts w:ascii="Calibri" w:hAnsi="Calibri" w:cs="Calibri"/>
          <w:i/>
          <w:sz w:val="18"/>
          <w:szCs w:val="18"/>
          <w:lang w:val="en-US"/>
        </w:rPr>
      </w:pPr>
      <w:r>
        <w:rPr>
          <w:rFonts w:ascii="Calibri" w:hAnsi="Calibri" w:cs="Calibri"/>
          <w:i/>
          <w:sz w:val="18"/>
          <w:szCs w:val="18"/>
          <w:lang w:val="en-US"/>
        </w:rPr>
        <w:t xml:space="preserve">“Dezinformacja, Misinformacja,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 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Malinformacja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- 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czym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 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się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 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różnią</w:t>
      </w:r>
      <w:r>
        <w:rPr>
          <w:rFonts w:ascii="Calibri" w:hAnsi="Calibri" w:cs="Calibri"/>
          <w:i/>
          <w:sz w:val="18"/>
          <w:szCs w:val="18"/>
          <w:lang w:val="en-US"/>
        </w:rPr>
        <w:t xml:space="preserve">?”- NASK</w:t>
      </w:r>
      <w:r>
        <w:rPr>
          <w:rFonts w:ascii="Calibri" w:hAnsi="Calibri" w:cs="Calibri"/>
          <w:i/>
          <w:sz w:val="18"/>
          <w:szCs w:val="18"/>
          <w:lang w:val="en-US"/>
        </w:rPr>
      </w:r>
    </w:p>
    <w:p>
      <w:pPr>
        <w:pBdr/>
        <w:spacing w:after="0"/>
        <w:ind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Bdr/>
        <w:spacing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lang w:eastAsia="pl-P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84445" cy="1089660"/>
                <wp:effectExtent l="0" t="0" r="1905" b="0"/>
                <wp:docPr id="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9726411" name="Picture 3297264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rcRect l="0" t="0" r="0" b="28998"/>
                        <a:stretch/>
                      </pic:blipFill>
                      <pic:spPr bwMode="auto">
                        <a:xfrm>
                          <a:off x="0" y="0"/>
                          <a:ext cx="5084846" cy="10897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00.35pt;height:85.80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Calibri" w:hAnsi="Calibri" w:cs="Calibri"/>
          <w:sz w:val="20"/>
          <w:szCs w:val="20"/>
        </w:rPr>
      </w:r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ascii="Arial" w:hAnsi="Arial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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pBdr/>
        <w:spacing w:after="160" w:afterAutospacing="0" w:before="0" w:beforeAutospacing="0" w:line="27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35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3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3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3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33"/>
    <w:next w:val="633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33"/>
    <w:next w:val="633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33"/>
    <w:next w:val="63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33"/>
    <w:next w:val="633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33"/>
    <w:next w:val="63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33"/>
    <w:next w:val="633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33"/>
    <w:next w:val="63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33"/>
    <w:next w:val="633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33"/>
    <w:next w:val="633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34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3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3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34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34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34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34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34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3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33"/>
    <w:next w:val="633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34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33"/>
    <w:next w:val="633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34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33"/>
    <w:next w:val="633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34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6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33"/>
    <w:next w:val="633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34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33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34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34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33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34"/>
    <w:link w:val="175"/>
    <w:uiPriority w:val="99"/>
    <w:pPr>
      <w:pBdr/>
      <w:spacing/>
      <w:ind/>
    </w:pPr>
  </w:style>
  <w:style w:type="paragraph" w:styleId="177">
    <w:name w:val="Footer"/>
    <w:basedOn w:val="633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34"/>
    <w:link w:val="177"/>
    <w:uiPriority w:val="99"/>
    <w:pPr>
      <w:pBdr/>
      <w:spacing/>
      <w:ind/>
    </w:pPr>
  </w:style>
  <w:style w:type="paragraph" w:styleId="179">
    <w:name w:val="Caption"/>
    <w:basedOn w:val="633"/>
    <w:next w:val="63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33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34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34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33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34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34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7">
    <w:name w:val="TOC Heading"/>
    <w:uiPriority w:val="39"/>
    <w:unhideWhenUsed/>
    <w:pPr>
      <w:pBdr/>
      <w:spacing/>
      <w:ind/>
    </w:pPr>
  </w:style>
  <w:style w:type="paragraph" w:styleId="198">
    <w:name w:val="table of figures"/>
    <w:basedOn w:val="633"/>
    <w:next w:val="633"/>
    <w:uiPriority w:val="99"/>
    <w:unhideWhenUsed/>
    <w:pPr>
      <w:pBdr/>
      <w:spacing w:after="0" w:afterAutospacing="0"/>
      <w:ind/>
    </w:pPr>
  </w:style>
  <w:style w:type="paragraph" w:styleId="633" w:default="1">
    <w:name w:val="Normal"/>
    <w:qFormat/>
    <w:pPr>
      <w:pBdr/>
      <w:spacing/>
      <w:ind/>
    </w:pPr>
  </w:style>
  <w:style w:type="character" w:styleId="634" w:default="1">
    <w:name w:val="Default Paragraph Font"/>
    <w:uiPriority w:val="1"/>
    <w:semiHidden/>
    <w:unhideWhenUsed/>
    <w:pPr>
      <w:pBdr/>
      <w:spacing/>
      <w:ind/>
    </w:pPr>
  </w:style>
  <w:style w:type="table" w:styleId="63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36" w:default="1">
    <w:name w:val="No List"/>
    <w:uiPriority w:val="99"/>
    <w:semiHidden/>
    <w:unhideWhenUsed/>
    <w:pPr>
      <w:pBdr/>
      <w:spacing/>
      <w:ind/>
    </w:pPr>
  </w:style>
  <w:style w:type="paragraph" w:styleId="637">
    <w:name w:val="List Paragraph"/>
    <w:basedOn w:val="633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ONLYOFFICE/8.1.0.0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Florczak</dc:creator>
  <cp:keywords/>
  <dc:description/>
  <cp:lastModifiedBy>Paulina Zaremba - Stanowisko ds. Pozyskiwania środków pozabudżetowych i planowania</cp:lastModifiedBy>
  <cp:revision>8</cp:revision>
  <dcterms:created xsi:type="dcterms:W3CDTF">2026-09-02T07:25:00Z</dcterms:created>
  <dcterms:modified xsi:type="dcterms:W3CDTF">2026-10-15T12:52:10Z</dcterms:modified>
</cp:coreProperties>
</file>